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r w:rsidRPr="003C35B5">
        <w:rPr>
          <w:b/>
        </w:rPr>
        <w:t xml:space="preserve">SOAH DOCKET NO. </w:t>
      </w:r>
      <w:r w:rsidR="00E904A2">
        <w:rPr>
          <w:b/>
        </w:rPr>
        <w:t>473-16-5739</w:t>
      </w:r>
      <w:r w:rsidR="00082062">
        <w:rPr>
          <w:b/>
        </w:rPr>
        <w:t>.WS</w:t>
      </w:r>
    </w:p>
    <w:p w:rsidR="00275B22" w:rsidRPr="003C35B5" w:rsidRDefault="00275B22">
      <w:pPr>
        <w:spacing w:before="0" w:line="240" w:lineRule="auto"/>
        <w:jc w:val="center"/>
        <w:rPr>
          <w:b/>
        </w:rPr>
      </w:pPr>
      <w:r w:rsidRPr="003C35B5">
        <w:rPr>
          <w:b/>
        </w:rPr>
        <w:t xml:space="preserve">PUC DOCKET NO. </w:t>
      </w:r>
      <w:r w:rsidR="00E904A2">
        <w:rPr>
          <w:b/>
        </w:rPr>
        <w:t>45956</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E904A2" w:rsidRPr="00E904A2" w:rsidRDefault="00E904A2" w:rsidP="00E904A2">
            <w:pPr>
              <w:spacing w:before="0" w:line="240" w:lineRule="auto"/>
              <w:jc w:val="left"/>
              <w:rPr>
                <w:b/>
                <w:bCs/>
              </w:rPr>
            </w:pPr>
            <w:r w:rsidRPr="00E904A2">
              <w:rPr>
                <w:b/>
                <w:bCs/>
              </w:rPr>
              <w:t>APPLICATION OF CITY OF SCHERTZ</w:t>
            </w:r>
          </w:p>
          <w:p w:rsidR="00E904A2" w:rsidRPr="00E904A2" w:rsidRDefault="00E904A2" w:rsidP="00E904A2">
            <w:pPr>
              <w:spacing w:before="0" w:line="240" w:lineRule="auto"/>
              <w:jc w:val="left"/>
              <w:rPr>
                <w:b/>
                <w:bCs/>
              </w:rPr>
            </w:pPr>
            <w:r w:rsidRPr="00E904A2">
              <w:rPr>
                <w:b/>
                <w:bCs/>
              </w:rPr>
              <w:t>TO AMEND A SEWER CERTIFICATE</w:t>
            </w:r>
          </w:p>
          <w:p w:rsidR="00E904A2" w:rsidRPr="00E904A2" w:rsidRDefault="00E904A2" w:rsidP="00E904A2">
            <w:pPr>
              <w:spacing w:before="0" w:line="240" w:lineRule="auto"/>
              <w:jc w:val="left"/>
              <w:rPr>
                <w:b/>
                <w:bCs/>
              </w:rPr>
            </w:pPr>
            <w:r w:rsidRPr="00E904A2">
              <w:rPr>
                <w:b/>
                <w:bCs/>
              </w:rPr>
              <w:t>OF CONVENIENCE AND NECESSITY</w:t>
            </w:r>
          </w:p>
          <w:p w:rsidR="00E904A2" w:rsidRPr="00E904A2" w:rsidRDefault="00E904A2" w:rsidP="00E904A2">
            <w:pPr>
              <w:spacing w:before="0" w:line="240" w:lineRule="auto"/>
              <w:jc w:val="left"/>
              <w:rPr>
                <w:b/>
                <w:bCs/>
              </w:rPr>
            </w:pPr>
            <w:r w:rsidRPr="00E904A2">
              <w:rPr>
                <w:b/>
                <w:bCs/>
              </w:rPr>
              <w:t>UNDER WATER CODE SECTION</w:t>
            </w:r>
          </w:p>
          <w:p w:rsidR="00E904A2" w:rsidRPr="00E904A2" w:rsidRDefault="00E904A2" w:rsidP="00E904A2">
            <w:pPr>
              <w:spacing w:before="0" w:line="240" w:lineRule="auto"/>
              <w:jc w:val="left"/>
              <w:rPr>
                <w:b/>
                <w:bCs/>
              </w:rPr>
            </w:pPr>
            <w:r w:rsidRPr="00E904A2">
              <w:rPr>
                <w:b/>
                <w:bCs/>
              </w:rPr>
              <w:t>13.255 AND TO DECERTIFY A</w:t>
            </w:r>
          </w:p>
          <w:p w:rsidR="00E904A2" w:rsidRPr="00E904A2" w:rsidRDefault="00E904A2" w:rsidP="00E904A2">
            <w:pPr>
              <w:spacing w:before="0" w:line="240" w:lineRule="auto"/>
              <w:jc w:val="left"/>
              <w:rPr>
                <w:b/>
                <w:bCs/>
              </w:rPr>
            </w:pPr>
            <w:r w:rsidRPr="00E904A2">
              <w:rPr>
                <w:b/>
                <w:bCs/>
              </w:rPr>
              <w:t>PORTION OF GREEN VALLEY</w:t>
            </w:r>
          </w:p>
          <w:p w:rsidR="00E904A2" w:rsidRPr="00E904A2" w:rsidRDefault="00E904A2" w:rsidP="00E904A2">
            <w:pPr>
              <w:spacing w:before="0" w:line="240" w:lineRule="auto"/>
              <w:jc w:val="left"/>
              <w:rPr>
                <w:b/>
                <w:bCs/>
              </w:rPr>
            </w:pPr>
            <w:r w:rsidRPr="00E904A2">
              <w:rPr>
                <w:b/>
                <w:bCs/>
              </w:rPr>
              <w:t>SPECIAL UTILITY DISTRICT'S</w:t>
            </w:r>
          </w:p>
          <w:p w:rsidR="00E904A2" w:rsidRPr="00E904A2" w:rsidRDefault="00E904A2" w:rsidP="00E904A2">
            <w:pPr>
              <w:spacing w:before="0" w:line="240" w:lineRule="auto"/>
              <w:jc w:val="left"/>
              <w:rPr>
                <w:b/>
                <w:bCs/>
              </w:rPr>
            </w:pPr>
            <w:r w:rsidRPr="00E904A2">
              <w:rPr>
                <w:b/>
                <w:bCs/>
              </w:rPr>
              <w:t>CERTIFICATE RIGHTS IN BEXAR</w:t>
            </w:r>
          </w:p>
          <w:p w:rsidR="00275B22" w:rsidRPr="003C35B5" w:rsidRDefault="00E904A2" w:rsidP="00E904A2">
            <w:pPr>
              <w:spacing w:before="0" w:line="240" w:lineRule="auto"/>
              <w:jc w:val="left"/>
            </w:pPr>
            <w:r w:rsidRPr="00E904A2">
              <w:rPr>
                <w:b/>
                <w:bCs/>
              </w:rPr>
              <w:t>COUNTY</w:t>
            </w:r>
          </w:p>
        </w:tc>
        <w:tc>
          <w:tcPr>
            <w:tcW w:w="360" w:type="dxa"/>
          </w:tcPr>
          <w:p w:rsidR="00275B22" w:rsidRDefault="00275B22">
            <w:pPr>
              <w:spacing w:before="0" w:line="240" w:lineRule="auto"/>
              <w:ind w:right="576"/>
              <w:rPr>
                <w:b/>
              </w:rPr>
            </w:pPr>
            <w:r w:rsidRPr="003C35B5">
              <w:rPr>
                <w:b/>
              </w:rPr>
              <w:t>§§</w:t>
            </w:r>
            <w:r w:rsidR="00E904A2" w:rsidRPr="003C35B5">
              <w:rPr>
                <w:b/>
              </w:rPr>
              <w:t>§</w:t>
            </w:r>
          </w:p>
          <w:p w:rsidR="00E904A2" w:rsidRDefault="00E904A2">
            <w:pPr>
              <w:spacing w:before="0" w:line="240" w:lineRule="auto"/>
              <w:ind w:right="576"/>
              <w:rPr>
                <w:b/>
              </w:rPr>
            </w:pPr>
            <w:r w:rsidRPr="003C35B5">
              <w:rPr>
                <w:b/>
              </w:rPr>
              <w:t>§</w:t>
            </w:r>
          </w:p>
          <w:p w:rsidR="00E904A2" w:rsidRDefault="00E904A2">
            <w:pPr>
              <w:spacing w:before="0" w:line="240" w:lineRule="auto"/>
              <w:ind w:right="576"/>
              <w:rPr>
                <w:b/>
              </w:rPr>
            </w:pPr>
            <w:r w:rsidRPr="003C35B5">
              <w:rPr>
                <w:b/>
              </w:rPr>
              <w:t>§</w:t>
            </w:r>
          </w:p>
          <w:p w:rsidR="00E904A2" w:rsidRDefault="00E904A2">
            <w:pPr>
              <w:spacing w:before="0" w:line="240" w:lineRule="auto"/>
              <w:ind w:right="576"/>
              <w:rPr>
                <w:b/>
              </w:rPr>
            </w:pPr>
            <w:r w:rsidRPr="003C35B5">
              <w:rPr>
                <w:b/>
              </w:rPr>
              <w:t>§</w:t>
            </w:r>
          </w:p>
          <w:p w:rsidR="00E904A2" w:rsidRDefault="00E904A2">
            <w:pPr>
              <w:spacing w:before="0" w:line="240" w:lineRule="auto"/>
              <w:ind w:right="576"/>
              <w:rPr>
                <w:b/>
              </w:rPr>
            </w:pPr>
            <w:r w:rsidRPr="003C35B5">
              <w:rPr>
                <w:b/>
              </w:rPr>
              <w:t>§</w:t>
            </w:r>
          </w:p>
          <w:p w:rsidR="00E904A2" w:rsidRDefault="00E904A2">
            <w:pPr>
              <w:spacing w:before="0" w:line="240" w:lineRule="auto"/>
              <w:ind w:right="576"/>
              <w:rPr>
                <w:b/>
              </w:rPr>
            </w:pPr>
            <w:r w:rsidRPr="003C35B5">
              <w:rPr>
                <w:b/>
              </w:rPr>
              <w:t>§</w:t>
            </w:r>
          </w:p>
          <w:p w:rsidR="00E904A2" w:rsidRPr="003C35B5" w:rsidRDefault="00E904A2">
            <w:pPr>
              <w:spacing w:before="0" w:line="240" w:lineRule="auto"/>
              <w:ind w:right="576"/>
              <w:rPr>
                <w:b/>
              </w:rPr>
            </w:pPr>
            <w:r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jc w:val="center"/>
      </w:pPr>
      <w:r w:rsidRPr="003C35B5">
        <w:rPr>
          <w:b/>
        </w:rPr>
        <w:t>PRELIMINARY ORDER</w:t>
      </w:r>
    </w:p>
    <w:p w:rsidR="00275B22" w:rsidRPr="003C35B5" w:rsidRDefault="00275B22">
      <w:pPr>
        <w:spacing w:before="0"/>
        <w:jc w:val="center"/>
        <w:rPr>
          <w:b/>
        </w:rPr>
      </w:pPr>
    </w:p>
    <w:p w:rsidR="00911656" w:rsidRDefault="00275B22">
      <w:pPr>
        <w:spacing w:before="0"/>
      </w:pPr>
      <w:r w:rsidRPr="003C35B5">
        <w:rPr>
          <w:b/>
        </w:rPr>
        <w:tab/>
      </w:r>
      <w:r w:rsidR="00C64AF0">
        <w:t xml:space="preserve">On May 11, 2016, the </w:t>
      </w:r>
      <w:r w:rsidR="00516F34">
        <w:t>C</w:t>
      </w:r>
      <w:r w:rsidR="00C64AF0">
        <w:t xml:space="preserve">ity of Schertz filed an application seeking </w:t>
      </w:r>
      <w:r w:rsidR="009251F1">
        <w:t xml:space="preserve">single certification </w:t>
      </w:r>
      <w:r w:rsidR="005A151A">
        <w:t>to provide sewer service to</w:t>
      </w:r>
      <w:r w:rsidR="009251F1">
        <w:t xml:space="preserve"> a</w:t>
      </w:r>
      <w:r w:rsidR="005A151A">
        <w:t xml:space="preserve">pproximately 405 acres of land </w:t>
      </w:r>
      <w:r w:rsidR="009251F1">
        <w:t>located within the city’s corporate limits</w:t>
      </w:r>
      <w:r w:rsidR="005A151A">
        <w:t xml:space="preserve"> </w:t>
      </w:r>
      <w:r w:rsidR="00C64AF0">
        <w:t xml:space="preserve">and </w:t>
      </w:r>
      <w:r w:rsidR="009251F1">
        <w:t>decertification of that</w:t>
      </w:r>
      <w:r w:rsidR="00C64AF0">
        <w:t xml:space="preserve"> portion of Green Valley Special Utility District’s </w:t>
      </w:r>
      <w:r w:rsidR="009251F1">
        <w:t xml:space="preserve">sewer </w:t>
      </w:r>
      <w:r w:rsidR="00C64AF0">
        <w:t>certificate of convenience and necessity</w:t>
      </w:r>
      <w:r w:rsidR="009251F1">
        <w:t xml:space="preserve"> (CCN), </w:t>
      </w:r>
      <w:r w:rsidR="00893E01">
        <w:t>under Texas Water Code</w:t>
      </w:r>
      <w:r w:rsidR="009251F1">
        <w:t xml:space="preserve"> (TWC) § 13.255 </w:t>
      </w:r>
      <w:r w:rsidR="00893E01">
        <w:t>and 16 Texas Administrative Cod</w:t>
      </w:r>
      <w:r w:rsidR="009251F1">
        <w:t>e (TAC) § 24.120</w:t>
      </w:r>
      <w:r w:rsidR="0042797F">
        <w:t>.</w:t>
      </w:r>
      <w:r w:rsidR="009251F1">
        <w:t xml:space="preserve">  </w:t>
      </w:r>
      <w:r w:rsidR="004A4D18">
        <w:t xml:space="preserve">On </w:t>
      </w:r>
      <w:r w:rsidR="003748D6">
        <w:t>May 26, 2016</w:t>
      </w:r>
      <w:r w:rsidR="004A4D18">
        <w:t>, Green Valley filed a motion to intervene, plea to the jurisdiction, and motion to dismis</w:t>
      </w:r>
      <w:r w:rsidR="00911656">
        <w:t>s</w:t>
      </w:r>
      <w:r w:rsidR="00FA5EA5">
        <w:t>.  Green Valley argues the Commission lacks jurisdiction to consider Schertz’s application</w:t>
      </w:r>
      <w:r w:rsidR="009251F1">
        <w:t xml:space="preserve"> because</w:t>
      </w:r>
      <w:r w:rsidR="00FA5EA5">
        <w:t xml:space="preserve"> the 180-day notice required for the application was deficient and </w:t>
      </w:r>
      <w:r w:rsidR="00082062">
        <w:t>because</w:t>
      </w:r>
      <w:r w:rsidR="00FA5EA5">
        <w:t xml:space="preserve"> </w:t>
      </w:r>
      <w:r w:rsidR="009251F1">
        <w:t xml:space="preserve">Green Valley holds a United </w:t>
      </w:r>
      <w:r w:rsidR="009251F1" w:rsidRPr="002A67F6">
        <w:t>St</w:t>
      </w:r>
      <w:r w:rsidR="00082062">
        <w:t>ates Department of Agriculture</w:t>
      </w:r>
      <w:r w:rsidR="00516F34">
        <w:t xml:space="preserve"> rural-development loan under</w:t>
      </w:r>
      <w:r w:rsidR="009251F1" w:rsidRPr="002A67F6">
        <w:t xml:space="preserve"> section 1926(b) of the Federal Consolidated Farm and Rural Development Act </w:t>
      </w:r>
      <w:r w:rsidR="00516F34">
        <w:t xml:space="preserve">which </w:t>
      </w:r>
      <w:r w:rsidR="009251F1" w:rsidRPr="002A67F6">
        <w:t>bars municipal encroachment of Green Valley’s sewer CCN</w:t>
      </w:r>
      <w:r w:rsidR="009251F1">
        <w:t>.</w:t>
      </w:r>
      <w:r w:rsidR="009251F1">
        <w:rPr>
          <w:rStyle w:val="FootnoteReference"/>
        </w:rPr>
        <w:footnoteReference w:id="1"/>
      </w:r>
    </w:p>
    <w:p w:rsidR="005A151A" w:rsidRDefault="00283247" w:rsidP="005A151A">
      <w:pPr>
        <w:spacing w:before="0"/>
        <w:ind w:firstLine="720"/>
      </w:pPr>
      <w:r>
        <w:t>On July 15, 2016</w:t>
      </w:r>
      <w:r w:rsidR="00D278F7">
        <w:t>, Schertz and Green Valley submitted separate appra</w:t>
      </w:r>
      <w:r w:rsidR="00082062">
        <w:t xml:space="preserve">isals for the value of property </w:t>
      </w:r>
      <w:r w:rsidR="00D278F7">
        <w:t>rendered useless a</w:t>
      </w:r>
      <w:r>
        <w:t>nd valueless.  On August 2, 2016</w:t>
      </w:r>
      <w:r w:rsidR="00D278F7">
        <w:t xml:space="preserve">, Schertz </w:t>
      </w:r>
      <w:r w:rsidR="00AD1E6B">
        <w:t>filed an unopposed petition to</w:t>
      </w:r>
      <w:r w:rsidR="00D278F7">
        <w:t xml:space="preserve"> the Commission </w:t>
      </w:r>
      <w:r w:rsidR="00AD1E6B">
        <w:t>requesting the appointment of</w:t>
      </w:r>
      <w:r w:rsidR="00D278F7">
        <w:t xml:space="preserve"> a third independent appraiser since the parties’ </w:t>
      </w:r>
      <w:r w:rsidR="00D278F7">
        <w:lastRenderedPageBreak/>
        <w:t xml:space="preserve">appraisers were unable to reach an agreement.  </w:t>
      </w:r>
      <w:r w:rsidR="004A4D18">
        <w:t xml:space="preserve">On </w:t>
      </w:r>
      <w:r w:rsidR="003748D6">
        <w:t>August 8, 2016</w:t>
      </w:r>
      <w:r w:rsidR="004A4D18">
        <w:t xml:space="preserve">, </w:t>
      </w:r>
      <w:r w:rsidR="003748D6">
        <w:t>this docket was referred to the State Office of Administrative Hearings (SOAH)</w:t>
      </w:r>
      <w:r w:rsidR="004A4D18">
        <w:t xml:space="preserve">.  On </w:t>
      </w:r>
      <w:r w:rsidR="003748D6">
        <w:t xml:space="preserve">August 24, 2016, Commission Staff, Green Valley, and Schertz each filed </w:t>
      </w:r>
      <w:r w:rsidR="009251F1">
        <w:t>separate</w:t>
      </w:r>
      <w:r w:rsidR="003748D6">
        <w:t xml:space="preserve"> list</w:t>
      </w:r>
      <w:r w:rsidR="009251F1">
        <w:t>s</w:t>
      </w:r>
      <w:r w:rsidR="003748D6">
        <w:t xml:space="preserve"> of issues.</w:t>
      </w:r>
    </w:p>
    <w:p w:rsidR="00F2324D" w:rsidRDefault="00F2324D" w:rsidP="00F2324D">
      <w:pPr>
        <w:pStyle w:val="BodyText"/>
      </w:pPr>
      <w:r>
        <w:tab/>
        <w:t xml:space="preserve">Consistent with the </w:t>
      </w:r>
      <w:r w:rsidR="005A151A">
        <w:t>Commission’s decision in Docket No. 45702</w:t>
      </w:r>
      <w:r w:rsidR="00516F34">
        <w:t>,</w:t>
      </w:r>
      <w:r w:rsidR="005A151A">
        <w:rPr>
          <w:rStyle w:val="FootnoteReference"/>
        </w:rPr>
        <w:footnoteReference w:id="2"/>
      </w:r>
      <w:r>
        <w:t xml:space="preserve"> the Commission concludes it is appropriate to refer </w:t>
      </w:r>
      <w:r w:rsidR="005A151A">
        <w:t>this</w:t>
      </w:r>
      <w:r>
        <w:t xml:space="preserve"> case to SOAH </w:t>
      </w:r>
      <w:r w:rsidRPr="00F57712">
        <w:t>for a determination of what property, if any, will be rendered useless or valueless to the decertified retail public utility as a result of the decertification</w:t>
      </w:r>
      <w:r>
        <w:t>, and what property, if any, has the municipality requested be transferred to it</w:t>
      </w:r>
      <w:r w:rsidRPr="00F57712">
        <w:t>.</w:t>
      </w:r>
      <w:r>
        <w:t xml:space="preserve">  After the Commission issues an interim order identifying any such property, based on consideration of a proposal for decision</w:t>
      </w:r>
      <w:r w:rsidR="000552E2">
        <w:t xml:space="preserve"> (PFD)</w:t>
      </w:r>
      <w:r>
        <w:t xml:space="preserve"> from SOAH, th</w:t>
      </w:r>
      <w:r w:rsidR="00082062">
        <w:t>e appraisal process under TWC § </w:t>
      </w:r>
      <w:r>
        <w:t>13.255(l) can be taken up.</w:t>
      </w:r>
    </w:p>
    <w:p w:rsidR="00F2324D" w:rsidRDefault="00F2324D" w:rsidP="00F2324D">
      <w:pPr>
        <w:spacing w:before="120"/>
        <w:ind w:firstLine="720"/>
      </w:pPr>
      <w:r>
        <w:t xml:space="preserve">The Commission is aware that appraisals have already been submitted in this matter, but it is not clear that those appraisals are limited to valuing property, if any, that </w:t>
      </w:r>
      <w:r w:rsidR="00893E01">
        <w:t>Schertz</w:t>
      </w:r>
      <w:r>
        <w:t xml:space="preserve"> has requested be transferred or </w:t>
      </w:r>
      <w:r w:rsidR="00516F34">
        <w:t xml:space="preserve">that </w:t>
      </w:r>
      <w:r>
        <w:t xml:space="preserve">would be rendered useless or valueless due to the proposed decertification.  </w:t>
      </w:r>
      <w:r w:rsidR="00516F34">
        <w:t>It</w:t>
      </w:r>
      <w:r>
        <w:t xml:space="preserve"> is not surprising </w:t>
      </w:r>
      <w:r w:rsidR="00516F34">
        <w:t xml:space="preserve">that the appraisals would not be so limited </w:t>
      </w:r>
      <w:r>
        <w:t xml:space="preserve">given that the Commission has not yet identified </w:t>
      </w:r>
      <w:r w:rsidR="00516F34">
        <w:t xml:space="preserve">the property that </w:t>
      </w:r>
      <w:r w:rsidR="00BB648E">
        <w:t>should</w:t>
      </w:r>
      <w:r w:rsidR="00516F34">
        <w:t xml:space="preserve"> be appraised</w:t>
      </w:r>
      <w:r>
        <w:t xml:space="preserve">.  After the Commission identifies in this first phase what property has been requested to be transferred or would be rendered useless or valueless, the appraisal process may be concluded, including if necessary additional appraisals by </w:t>
      </w:r>
      <w:r w:rsidR="00893E01">
        <w:t>Schertz’s</w:t>
      </w:r>
      <w:r>
        <w:t xml:space="preserve"> and Green Valley’s selected appraisers.</w:t>
      </w:r>
    </w:p>
    <w:p w:rsidR="00F2324D" w:rsidRDefault="00F2324D" w:rsidP="00F2324D">
      <w:pPr>
        <w:spacing w:before="120"/>
        <w:ind w:firstLine="720"/>
      </w:pPr>
      <w:r>
        <w:t>While it is unlikely that SOAH can complete a hearing and</w:t>
      </w:r>
      <w:r w:rsidR="000552E2">
        <w:t xml:space="preserve"> issue a PFD </w:t>
      </w:r>
      <w:r>
        <w:t xml:space="preserve">within the timeframe provided in the statute, the Commission requests that the case be expedited to the extent possible.  </w:t>
      </w:r>
      <w:r w:rsidRPr="000E6FEC">
        <w:t xml:space="preserve">After </w:t>
      </w:r>
      <w:r>
        <w:t>appropriate discovery, the SOAH administrative law judge (ALJ) should hold a</w:t>
      </w:r>
      <w:r w:rsidRPr="000E6FEC">
        <w:t xml:space="preserve"> hearing</w:t>
      </w:r>
      <w:r>
        <w:t xml:space="preserve"> on the first phase of this docket and determine w</w:t>
      </w:r>
      <w:r w:rsidRPr="000E6FEC">
        <w:t>hat property</w:t>
      </w:r>
      <w:r>
        <w:t xml:space="preserve"> </w:t>
      </w:r>
      <w:r w:rsidRPr="000E6FEC">
        <w:t>has bee</w:t>
      </w:r>
      <w:r>
        <w:t>n requested to be transferred and what property would be rendered useless or valueless by decertification.  The ALJ should i</w:t>
      </w:r>
      <w:r w:rsidRPr="000E6FEC">
        <w:t xml:space="preserve">ssue a </w:t>
      </w:r>
      <w:r>
        <w:t>PFD on those issues and allow the Commission to make the determinations required under TWC § 13.255(c). The Commission will then issue an interim order to m</w:t>
      </w:r>
      <w:r w:rsidR="00893E01">
        <w:t>emorialize that determination.</w:t>
      </w:r>
    </w:p>
    <w:p w:rsidR="00275B22" w:rsidRPr="003C35B5" w:rsidRDefault="00275B22">
      <w:pPr>
        <w:spacing w:before="0"/>
        <w:jc w:val="center"/>
      </w:pPr>
      <w:r w:rsidRPr="003C35B5">
        <w:rPr>
          <w:b/>
        </w:rPr>
        <w:lastRenderedPageBreak/>
        <w:t>I</w:t>
      </w:r>
      <w:r w:rsidR="009F1850" w:rsidRPr="003C35B5">
        <w:rPr>
          <w:b/>
        </w:rPr>
        <w:t>I</w:t>
      </w:r>
      <w:proofErr w:type="gramStart"/>
      <w:r w:rsidRPr="003C35B5">
        <w:rPr>
          <w:b/>
        </w:rPr>
        <w:t xml:space="preserve">.  </w:t>
      </w:r>
      <w:r w:rsidR="002B0DD0" w:rsidRPr="003C35B5">
        <w:rPr>
          <w:b/>
        </w:rPr>
        <w:t>Issues</w:t>
      </w:r>
      <w:proofErr w:type="gramEnd"/>
      <w:r w:rsidR="002B0DD0" w:rsidRPr="003C35B5">
        <w:rPr>
          <w:b/>
        </w:rPr>
        <w:t xml:space="preserve"> to b</w:t>
      </w:r>
      <w:r w:rsidR="00C35689" w:rsidRPr="003C35B5">
        <w:rPr>
          <w:b/>
        </w:rPr>
        <w:t>e Addressed</w:t>
      </w:r>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administrative law judge (ALJ) </w:t>
      </w:r>
      <w:r w:rsidR="002B0DD0" w:rsidRPr="003C35B5">
        <w:t xml:space="preserve">a list of issues or areas to be </w:t>
      </w:r>
      <w:r w:rsidRPr="003C35B5">
        <w:t xml:space="preserve">addressed in any proceeding referred to the </w:t>
      </w:r>
      <w:r w:rsidR="00364BA2" w:rsidRPr="003C35B5">
        <w:t>State Office of Administrative Hearings (</w:t>
      </w:r>
      <w:r w:rsidRPr="003C35B5">
        <w:t>SOAH</w:t>
      </w:r>
      <w:r w:rsidR="00364BA2" w:rsidRPr="003C35B5">
        <w:t>)</w:t>
      </w:r>
      <w:r w:rsidRPr="003C35B5">
        <w:t>.</w:t>
      </w:r>
      <w:r w:rsidR="00364BA2" w:rsidRPr="003C35B5">
        <w:rPr>
          <w:rStyle w:val="FootnoteReference"/>
        </w:rPr>
        <w:footnoteReference w:id="3"/>
      </w:r>
      <w:r w:rsidRPr="003C35B5">
        <w:t xml:space="preserve">  After reviewing the pleadings submitted by the parties, the Commission identifies the following issues that must be addressed in this docket:</w:t>
      </w:r>
    </w:p>
    <w:p w:rsidR="00275B22" w:rsidRPr="003C35B5" w:rsidRDefault="003748D6">
      <w:pPr>
        <w:pStyle w:val="ItemList"/>
        <w:numPr>
          <w:ilvl w:val="0"/>
          <w:numId w:val="1"/>
        </w:numPr>
        <w:spacing w:before="240"/>
        <w:ind w:left="720" w:hanging="720"/>
      </w:pPr>
      <w:r>
        <w:t>Is the area for which the city of Schertz seeks single certification currently within the certificated service area of a retail public utility?</w:t>
      </w:r>
    </w:p>
    <w:p w:rsidR="00275B22" w:rsidRDefault="003748D6">
      <w:pPr>
        <w:pStyle w:val="ItemList"/>
        <w:numPr>
          <w:ilvl w:val="0"/>
          <w:numId w:val="1"/>
        </w:numPr>
        <w:spacing w:before="240"/>
        <w:ind w:left="720" w:hanging="720"/>
      </w:pPr>
      <w:r>
        <w:t>If so, did Schertz provide written notice to the retail public utility of its intent to provide service to the area for which Schertz seeks certification? TWC § 13.255(b) and 16 TAC § 24.120(b)?</w:t>
      </w:r>
    </w:p>
    <w:p w:rsidR="003748D6" w:rsidRDefault="003748D6">
      <w:pPr>
        <w:pStyle w:val="ItemList"/>
        <w:numPr>
          <w:ilvl w:val="0"/>
          <w:numId w:val="1"/>
        </w:numPr>
        <w:spacing w:before="240"/>
        <w:ind w:left="720" w:hanging="720"/>
      </w:pPr>
      <w:r>
        <w:t>If so, did Schertz wait more than 180 days after providing the written notice before it filed its application with the Commission?  TWC 13.255(c) and 16 TAC § 24.120(c).</w:t>
      </w:r>
    </w:p>
    <w:p w:rsidR="003748D6" w:rsidRDefault="003748D6">
      <w:pPr>
        <w:pStyle w:val="ItemList"/>
        <w:numPr>
          <w:ilvl w:val="0"/>
          <w:numId w:val="1"/>
        </w:numPr>
        <w:spacing w:before="240"/>
        <w:ind w:left="720" w:hanging="720"/>
      </w:pPr>
      <w:r>
        <w:t>Is Schertz’s application administratively complete pursuant to 16 TAC § 24.8?  In making this determination, the following questions should be addressed:</w:t>
      </w:r>
    </w:p>
    <w:p w:rsidR="003748D6" w:rsidRDefault="003748D6" w:rsidP="003748D6">
      <w:pPr>
        <w:pStyle w:val="ItemList"/>
        <w:numPr>
          <w:ilvl w:val="0"/>
          <w:numId w:val="10"/>
        </w:numPr>
        <w:spacing w:before="240"/>
      </w:pPr>
      <w:r>
        <w:t>Has Schertz demonstrated that no retail public utility facilities will be rendered useless or valueless to the retail public utility?  TWC § 13.255(c) and 16 TAC § 24.120(c).  If not, has Schertz included in its application all appraisals required under TWC § 13.255(1) and 16 TAC § 24.120(m)?</w:t>
      </w:r>
      <w:r>
        <w:rPr>
          <w:rStyle w:val="FootnoteReference"/>
        </w:rPr>
        <w:footnoteReference w:id="4"/>
      </w:r>
    </w:p>
    <w:p w:rsidR="003E66BA" w:rsidRPr="003C35B5" w:rsidRDefault="003E66BA" w:rsidP="003748D6">
      <w:pPr>
        <w:pStyle w:val="ItemList"/>
        <w:numPr>
          <w:ilvl w:val="0"/>
          <w:numId w:val="10"/>
        </w:numPr>
        <w:spacing w:before="240"/>
      </w:pPr>
      <w:r>
        <w:t>Is Schertz requesting the transfer of specified property of a retail public utility?  TWC § 13.255(c) and 16 TAC § 24.120(c).  If so, has Schertz included in its application all appraisals required under TWC § 13.255(l) and 16 TAC § 24.120(m)?</w:t>
      </w:r>
    </w:p>
    <w:p w:rsidR="00275B22" w:rsidRDefault="001972E8">
      <w:pPr>
        <w:pStyle w:val="ItemList"/>
        <w:numPr>
          <w:ilvl w:val="0"/>
          <w:numId w:val="1"/>
        </w:numPr>
        <w:spacing w:before="240"/>
        <w:ind w:left="720" w:hanging="720"/>
      </w:pPr>
      <w:r>
        <w:lastRenderedPageBreak/>
        <w:t>Has Schertz demonstrated that its public-drinking-water system</w:t>
      </w:r>
      <w:r w:rsidR="00A957E8">
        <w:t>s</w:t>
      </w:r>
      <w:r>
        <w:t xml:space="preserve"> </w:t>
      </w:r>
      <w:r w:rsidR="00A957E8">
        <w:t>comply</w:t>
      </w:r>
      <w:r>
        <w:t xml:space="preserve"> with TCEQ’s minimum requirements for public-drinking-water systems? TWC § 13.255(m) and 16 TAC § 24.120(n).</w:t>
      </w:r>
    </w:p>
    <w:p w:rsidR="001972E8" w:rsidRDefault="001972E8">
      <w:pPr>
        <w:pStyle w:val="ItemList"/>
        <w:numPr>
          <w:ilvl w:val="0"/>
          <w:numId w:val="1"/>
        </w:numPr>
        <w:spacing w:before="240"/>
        <w:ind w:left="720" w:hanging="720"/>
      </w:pPr>
      <w:r>
        <w:t>Has the retail public utility submitted to the Commission a written list with the names and addresses of any lienholders and the amount of the retail public utility’s debt, if any?  16 TAC § 24.120(b</w:t>
      </w:r>
      <w:proofErr w:type="gramStart"/>
      <w:r>
        <w:t>)(</w:t>
      </w:r>
      <w:proofErr w:type="gramEnd"/>
      <w:r>
        <w:t>1).</w:t>
      </w:r>
    </w:p>
    <w:p w:rsidR="001972E8" w:rsidRDefault="001972E8">
      <w:pPr>
        <w:pStyle w:val="ItemList"/>
        <w:numPr>
          <w:ilvl w:val="0"/>
          <w:numId w:val="1"/>
        </w:numPr>
        <w:spacing w:before="240"/>
        <w:ind w:left="720" w:hanging="720"/>
      </w:pPr>
      <w:r>
        <w:t>If any lienholders exist, has the retail public utility notified the lienholders of this decertification process consistent with 16 TAC § 24.120(b</w:t>
      </w:r>
      <w:proofErr w:type="gramStart"/>
      <w:r>
        <w:t>)(</w:t>
      </w:r>
      <w:proofErr w:type="gramEnd"/>
      <w:r>
        <w:t>2)?</w:t>
      </w:r>
    </w:p>
    <w:p w:rsidR="001972E8" w:rsidRDefault="001972E8">
      <w:pPr>
        <w:pStyle w:val="ItemList"/>
        <w:numPr>
          <w:ilvl w:val="0"/>
          <w:numId w:val="1"/>
        </w:numPr>
        <w:spacing w:before="240"/>
        <w:ind w:left="720" w:hanging="720"/>
      </w:pPr>
      <w:r>
        <w:t>What property, if any, will be rendered useless or valueless to Green Valley by the decertification sought by Schertz in this proceeding?  TWC § 13.254(c).</w:t>
      </w:r>
    </w:p>
    <w:p w:rsidR="001972E8" w:rsidRDefault="001972E8">
      <w:pPr>
        <w:pStyle w:val="ItemList"/>
        <w:numPr>
          <w:ilvl w:val="0"/>
          <w:numId w:val="1"/>
        </w:numPr>
        <w:spacing w:before="240"/>
        <w:ind w:left="720" w:hanging="720"/>
      </w:pPr>
      <w:r>
        <w:t>What property of Green Valley, if any, has Schertz requested be transferred to it?  TWC § 13.254(c).</w:t>
      </w:r>
    </w:p>
    <w:p w:rsidR="001972E8" w:rsidRDefault="001972E8" w:rsidP="001972E8">
      <w:pPr>
        <w:pStyle w:val="ItemList"/>
        <w:numPr>
          <w:ilvl w:val="0"/>
          <w:numId w:val="1"/>
        </w:numPr>
        <w:spacing w:before="240"/>
        <w:ind w:left="720" w:hanging="720"/>
      </w:pPr>
      <w:r>
        <w:t>Are the existing appraisals limited to valuing the property that has been determined to have been rendered useless or valueless by decertification and the property, that Schertz has requested be transferred?</w:t>
      </w:r>
    </w:p>
    <w:p w:rsidR="001972E8" w:rsidRDefault="001972E8" w:rsidP="001972E8">
      <w:pPr>
        <w:pStyle w:val="ItemList"/>
        <w:numPr>
          <w:ilvl w:val="0"/>
          <w:numId w:val="1"/>
        </w:numPr>
        <w:spacing w:before="240"/>
        <w:ind w:left="720" w:hanging="720"/>
      </w:pPr>
      <w:r>
        <w:t>What is the adequate and just compensation to be paid to the retail public utility for any of its facilities that will be useless and valueless to it or that Schertz requests to be transferred?  TWC §§ 13.255(c), (g), (g-1) and (1) and 16 TAC § 24.120(c), (g), (h), and (m)?</w:t>
      </w:r>
    </w:p>
    <w:p w:rsidR="00275B22" w:rsidRDefault="00275B22">
      <w:r w:rsidRPr="003C35B5">
        <w:tab/>
        <w:t xml:space="preserve">This list of issues is not intended to be exhaustive.  The parties and the ALJ are free to raise and address any issues relevant in this docket that they deem necessary, subject to any </w:t>
      </w:r>
      <w:r w:rsidR="00082062">
        <w:t xml:space="preserve">limitations imposed by the ALJ </w:t>
      </w:r>
      <w:r w:rsidRPr="003C35B5">
        <w:t>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1972E8">
        <w:t>Tex</w:t>
      </w:r>
      <w:r w:rsidR="001972E8">
        <w:t>as Government Code Annotated</w:t>
      </w:r>
      <w:r w:rsidRPr="003C35B5">
        <w:t xml:space="preserve"> </w:t>
      </w:r>
      <w:r w:rsidR="001972E8">
        <w:t>§ </w:t>
      </w:r>
      <w:r w:rsidRPr="003C35B5">
        <w:t>2003.049(e).</w:t>
      </w:r>
    </w:p>
    <w:p w:rsidR="00516F34" w:rsidRDefault="00516F34"/>
    <w:p w:rsidR="00275B22" w:rsidRPr="003C35B5" w:rsidRDefault="00275B22">
      <w:pPr>
        <w:spacing w:before="0"/>
        <w:jc w:val="center"/>
      </w:pPr>
      <w:r w:rsidRPr="003C35B5">
        <w:rPr>
          <w:b/>
        </w:rPr>
        <w:lastRenderedPageBreak/>
        <w:t>II</w:t>
      </w:r>
      <w:r w:rsidR="009F1850" w:rsidRPr="003C35B5">
        <w:rPr>
          <w:b/>
        </w:rPr>
        <w:t>I</w:t>
      </w:r>
      <w:proofErr w:type="gramStart"/>
      <w:r w:rsidRPr="003C35B5">
        <w:rPr>
          <w:b/>
        </w:rPr>
        <w:t xml:space="preserve">.  </w:t>
      </w:r>
      <w:r w:rsidR="002B0DD0" w:rsidRPr="003C35B5">
        <w:rPr>
          <w:b/>
        </w:rPr>
        <w:t>Issues</w:t>
      </w:r>
      <w:proofErr w:type="gramEnd"/>
      <w:r w:rsidR="002B0DD0" w:rsidRPr="003C35B5">
        <w:rPr>
          <w:b/>
        </w:rPr>
        <w:t xml:space="preserve"> Not to be Addressed</w:t>
      </w:r>
    </w:p>
    <w:p w:rsidR="00275B22" w:rsidRPr="003C35B5" w:rsidRDefault="00275B22">
      <w:pPr>
        <w:spacing w:before="0"/>
        <w:jc w:val="left"/>
      </w:pPr>
    </w:p>
    <w:p w:rsidR="00275B22" w:rsidRPr="003C35B5" w:rsidRDefault="00275B22" w:rsidP="002B0DD0">
      <w:pPr>
        <w:spacing w:before="0"/>
      </w:pPr>
      <w:r w:rsidRPr="003C35B5">
        <w:tab/>
        <w:t xml:space="preserve">The Commission takes the position that the following issues need not be addressed in this proceeding for the reasons stated.  </w:t>
      </w:r>
    </w:p>
    <w:p w:rsidR="00275B22" w:rsidRPr="003C35B5" w:rsidRDefault="00275B22">
      <w:pPr>
        <w:pStyle w:val="ItemList"/>
        <w:spacing w:before="240"/>
      </w:pPr>
      <w:r w:rsidRPr="003C35B5">
        <w:t>1.</w:t>
      </w:r>
      <w:r w:rsidRPr="003C35B5">
        <w:tab/>
      </w:r>
      <w:r w:rsidR="0057482F">
        <w:t>Any issues regarding whether</w:t>
      </w:r>
      <w:r w:rsidR="009251F1">
        <w:t xml:space="preserve"> the</w:t>
      </w:r>
      <w:r w:rsidR="007A4156">
        <w:t xml:space="preserve"> Commission </w:t>
      </w:r>
      <w:r w:rsidR="0057482F">
        <w:t xml:space="preserve">is </w:t>
      </w:r>
      <w:r w:rsidR="007A4156">
        <w:t xml:space="preserve">pre-empted by federal law </w:t>
      </w:r>
      <w:r w:rsidR="0057482F">
        <w:t>from</w:t>
      </w:r>
      <w:r w:rsidR="007A4156">
        <w:t xml:space="preserve"> considering Schertz’s single certification application under TWC § 13.255 and 16 TAC § 24.120 because Green Valley holds federal debt and its service area is pr</w:t>
      </w:r>
      <w:r w:rsidR="0057482F">
        <w:t>otected by 7 U.S.C.A. § 1926(b).</w:t>
      </w:r>
    </w:p>
    <w:p w:rsidR="00516F34" w:rsidRDefault="00275B22" w:rsidP="00516F34">
      <w:pPr>
        <w:pStyle w:val="ItemList"/>
        <w:spacing w:before="240"/>
      </w:pPr>
      <w:r w:rsidRPr="003C35B5">
        <w:tab/>
      </w:r>
      <w:r w:rsidR="00BB648E">
        <w:t>The Commission has already decided in Docket No. 45702</w:t>
      </w:r>
      <w:r w:rsidR="00BB648E">
        <w:rPr>
          <w:rStyle w:val="FootnoteReference"/>
        </w:rPr>
        <w:footnoteReference w:id="5"/>
      </w:r>
      <w:r w:rsidR="00BB648E">
        <w:t xml:space="preserve"> that it does not have authority to determine whether § 1926(b) of the Federal Consolidated Farm and Rural Development act federally preempts TWC § 13.255.</w:t>
      </w:r>
    </w:p>
    <w:p w:rsidR="00516F34" w:rsidRDefault="00516F34" w:rsidP="00516F34">
      <w:pPr>
        <w:pStyle w:val="ItemList"/>
      </w:pPr>
      <w:r>
        <w:t>2</w:t>
      </w:r>
      <w:r w:rsidR="000552E2">
        <w:t>.</w:t>
      </w:r>
      <w:r w:rsidR="000552E2">
        <w:tab/>
        <w:t>Any issues regarding whether</w:t>
      </w:r>
      <w:r>
        <w:t xml:space="preserve"> a municipality seeking single certification under TWC § 13.255 solely to provide sewer service must demonstrate compliance with TCEQ’s minimum requirements for public-drinking-water systems.</w:t>
      </w:r>
    </w:p>
    <w:p w:rsidR="00516F34" w:rsidRDefault="00516F34" w:rsidP="00516F34">
      <w:pPr>
        <w:pStyle w:val="ItemList"/>
        <w:spacing w:before="240"/>
      </w:pPr>
      <w:r w:rsidRPr="003C35B5">
        <w:tab/>
      </w:r>
      <w:r>
        <w:t xml:space="preserve">The Commission has already </w:t>
      </w:r>
      <w:r w:rsidR="00BB648E">
        <w:t>decided</w:t>
      </w:r>
      <w:r>
        <w:t xml:space="preserve"> in Docket No. 45702</w:t>
      </w:r>
      <w:r>
        <w:rPr>
          <w:rStyle w:val="FootnoteReference"/>
        </w:rPr>
        <w:footnoteReference w:id="6"/>
      </w:r>
      <w:r>
        <w:t xml:space="preserve"> </w:t>
      </w:r>
      <w:r w:rsidR="00BB648E">
        <w:t>that this requirement must be met for a sewer CCN</w:t>
      </w:r>
      <w:r>
        <w:t>.</w:t>
      </w:r>
    </w:p>
    <w:p w:rsidR="00516F34" w:rsidRDefault="00516F34">
      <w:pPr>
        <w:spacing w:before="0"/>
        <w:jc w:val="center"/>
        <w:rPr>
          <w:b/>
        </w:rPr>
      </w:pPr>
    </w:p>
    <w:p w:rsidR="00275B22" w:rsidRDefault="009F1850">
      <w:pPr>
        <w:spacing w:before="0"/>
        <w:jc w:val="center"/>
        <w:rPr>
          <w:b/>
        </w:rPr>
      </w:pPr>
      <w:r w:rsidRPr="003C35B5">
        <w:rPr>
          <w:b/>
        </w:rPr>
        <w:t>IV</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3E66BA" w:rsidRPr="003C35B5" w:rsidRDefault="003E66BA">
      <w:pPr>
        <w:spacing w:before="0"/>
        <w:jc w:val="center"/>
      </w:pPr>
    </w:p>
    <w:p w:rsidR="002133F3" w:rsidRPr="003C35B5" w:rsidRDefault="002133F3" w:rsidP="003E66BA">
      <w:pPr>
        <w:spacing w:before="0"/>
      </w:pPr>
      <w:r w:rsidRPr="003C35B5">
        <w:tab/>
      </w:r>
      <w:r w:rsidR="00516F34" w:rsidRPr="003C35B5">
        <w:t xml:space="preserve">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w:t>
      </w:r>
      <w:r w:rsidR="00516F34" w:rsidRPr="003C35B5">
        <w:lastRenderedPageBreak/>
        <w:t>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CE470D" w:rsidRDefault="00CE470D" w:rsidP="002133F3"/>
    <w:p w:rsidR="00516F34" w:rsidRDefault="00516F34" w:rsidP="002133F3"/>
    <w:p w:rsidR="00275B22" w:rsidRPr="003C35B5" w:rsidRDefault="00275B22">
      <w:pPr>
        <w:spacing w:before="0" w:line="240" w:lineRule="auto"/>
      </w:pPr>
    </w:p>
    <w:p w:rsidR="004F6FBF" w:rsidRPr="003C35B5" w:rsidRDefault="00275B22" w:rsidP="004F6FB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4F6FBF">
        <w:rPr>
          <w:b/>
        </w:rPr>
        <w:t>September 2016.</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D24B77"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bookmarkStart w:id="0" w:name="_GoBack"/>
      <w:r w:rsidRPr="00D24B77">
        <w:rPr>
          <w:b/>
        </w:rPr>
        <w:t>_________________________________________</w:t>
      </w:r>
      <w:r w:rsidR="00676438" w:rsidRPr="00D24B77">
        <w:rPr>
          <w:b/>
        </w:rPr>
        <w:t>_____</w:t>
      </w:r>
    </w:p>
    <w:bookmarkEnd w:id="0"/>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3C35B5" w:rsidRDefault="002B0DD0">
      <w:pPr>
        <w:spacing w:before="0" w:line="240" w:lineRule="auto"/>
        <w:rPr>
          <w:b/>
        </w:rPr>
      </w:pPr>
    </w:p>
    <w:p w:rsidR="002B0DD0" w:rsidRPr="003C35B5" w:rsidRDefault="002B0DD0" w:rsidP="00516F34">
      <w:pPr>
        <w:rPr>
          <w:b/>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272DF9">
        <w:rPr>
          <w:noProof/>
          <w:sz w:val="16"/>
        </w:rPr>
        <w:t>q:\cadm\orders\prelim\45000\45956 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4A2" w:rsidRDefault="00E904A2">
      <w:r>
        <w:separator/>
      </w:r>
    </w:p>
  </w:endnote>
  <w:endnote w:type="continuationSeparator" w:id="0">
    <w:p w:rsidR="00E904A2" w:rsidRDefault="00E9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4A2" w:rsidRDefault="00E904A2">
      <w:r>
        <w:separator/>
      </w:r>
    </w:p>
  </w:footnote>
  <w:footnote w:type="continuationSeparator" w:id="0">
    <w:p w:rsidR="00E904A2" w:rsidRDefault="00E904A2">
      <w:r>
        <w:continuationSeparator/>
      </w:r>
    </w:p>
  </w:footnote>
  <w:footnote w:id="1">
    <w:p w:rsidR="009251F1" w:rsidRDefault="009251F1">
      <w:pPr>
        <w:pStyle w:val="FootnoteText"/>
      </w:pPr>
      <w:r w:rsidRPr="005A151A">
        <w:rPr>
          <w:rStyle w:val="FootnoteReference"/>
          <w:position w:val="0"/>
          <w:sz w:val="20"/>
          <w:vertAlign w:val="superscript"/>
        </w:rPr>
        <w:footnoteRef/>
      </w:r>
      <w:r>
        <w:t xml:space="preserve"> </w:t>
      </w:r>
      <w:r w:rsidR="00FA5EA5">
        <w:t xml:space="preserve"> Green Valley Special Utility District’s Motion to Intervene, Plea to the Jurisdiction and Motion to Dismiss with Debt Information Listing at 3 (May 26, 2016).</w:t>
      </w:r>
    </w:p>
  </w:footnote>
  <w:footnote w:id="2">
    <w:p w:rsidR="005A151A" w:rsidRDefault="005A151A">
      <w:pPr>
        <w:pStyle w:val="FootnoteText"/>
      </w:pPr>
      <w:r w:rsidRPr="005A151A">
        <w:rPr>
          <w:rStyle w:val="FootnoteReference"/>
          <w:position w:val="0"/>
          <w:sz w:val="20"/>
          <w:vertAlign w:val="superscript"/>
        </w:rPr>
        <w:footnoteRef/>
      </w:r>
      <w:r w:rsidRPr="005A151A">
        <w:rPr>
          <w:vertAlign w:val="superscript"/>
        </w:rPr>
        <w:t xml:space="preserve"> </w:t>
      </w:r>
      <w:r>
        <w:t xml:space="preserve"> </w:t>
      </w:r>
      <w:r>
        <w:rPr>
          <w:i/>
        </w:rPr>
        <w:t>Application of City o</w:t>
      </w:r>
      <w:r w:rsidRPr="003E66BA">
        <w:rPr>
          <w:i/>
        </w:rPr>
        <w:t xml:space="preserve">f Cibolo </w:t>
      </w:r>
      <w:r>
        <w:rPr>
          <w:i/>
        </w:rPr>
        <w:t>f</w:t>
      </w:r>
      <w:r w:rsidRPr="003E66BA">
        <w:rPr>
          <w:i/>
        </w:rPr>
        <w:t xml:space="preserve">or Single Certification </w:t>
      </w:r>
      <w:r>
        <w:rPr>
          <w:i/>
        </w:rPr>
        <w:t>i</w:t>
      </w:r>
      <w:r w:rsidRPr="003E66BA">
        <w:rPr>
          <w:i/>
        </w:rPr>
        <w:t xml:space="preserve">n Incorporated Area </w:t>
      </w:r>
      <w:r>
        <w:rPr>
          <w:i/>
        </w:rPr>
        <w:t>a</w:t>
      </w:r>
      <w:r w:rsidRPr="003E66BA">
        <w:rPr>
          <w:i/>
        </w:rPr>
        <w:t xml:space="preserve">nd </w:t>
      </w:r>
      <w:r>
        <w:rPr>
          <w:i/>
        </w:rPr>
        <w:t>t</w:t>
      </w:r>
      <w:r w:rsidRPr="003E66BA">
        <w:rPr>
          <w:i/>
        </w:rPr>
        <w:t xml:space="preserve">o Decertify Portions </w:t>
      </w:r>
      <w:r>
        <w:rPr>
          <w:i/>
        </w:rPr>
        <w:t>o</w:t>
      </w:r>
      <w:r w:rsidRPr="003E66BA">
        <w:rPr>
          <w:i/>
        </w:rPr>
        <w:t xml:space="preserve">f Green Valley Special Utility District’s Sewer Certificate </w:t>
      </w:r>
      <w:r>
        <w:rPr>
          <w:i/>
        </w:rPr>
        <w:t>o</w:t>
      </w:r>
      <w:r w:rsidRPr="003E66BA">
        <w:rPr>
          <w:i/>
        </w:rPr>
        <w:t xml:space="preserve">f Convenience </w:t>
      </w:r>
      <w:r>
        <w:rPr>
          <w:i/>
        </w:rPr>
        <w:t>and Necessity i</w:t>
      </w:r>
      <w:r w:rsidRPr="003E66BA">
        <w:rPr>
          <w:i/>
        </w:rPr>
        <w:t>n Guadalupe County</w:t>
      </w:r>
      <w:r>
        <w:t>, Docket No. 4570</w:t>
      </w:r>
      <w:r w:rsidR="00516F34">
        <w:t>2</w:t>
      </w:r>
      <w:r>
        <w:t>, Supplemental Preliminary Order (July 1, 2016).</w:t>
      </w:r>
    </w:p>
  </w:footnote>
  <w:footnote w:id="3">
    <w:p w:rsidR="003243A0" w:rsidRPr="00A957E8" w:rsidRDefault="003243A0">
      <w:pPr>
        <w:pStyle w:val="FootnoteText"/>
        <w:rPr>
          <w:lang w:val="pt-BR"/>
        </w:rPr>
      </w:pPr>
      <w:r w:rsidRPr="00A957E8">
        <w:rPr>
          <w:rStyle w:val="FootnoteReference"/>
          <w:position w:val="0"/>
          <w:sz w:val="20"/>
          <w:vertAlign w:val="superscript"/>
        </w:rPr>
        <w:footnoteRef/>
      </w:r>
      <w:r w:rsidRPr="00A957E8">
        <w:rPr>
          <w:vertAlign w:val="superscript"/>
          <w:lang w:val="pt-BR"/>
        </w:rPr>
        <w:t xml:space="preserve"> </w:t>
      </w:r>
      <w:r w:rsidRPr="00A957E8">
        <w:rPr>
          <w:lang w:val="pt-BR"/>
        </w:rPr>
        <w:t xml:space="preserve"> </w:t>
      </w:r>
      <w:r w:rsidRPr="00A957E8">
        <w:t>Tex. Gov’t Code Ann.</w:t>
      </w:r>
      <w:r w:rsidR="007A5644" w:rsidRPr="00A957E8">
        <w:rPr>
          <w:lang w:val="pt-BR"/>
        </w:rPr>
        <w:t xml:space="preserve"> </w:t>
      </w:r>
      <w:r w:rsidR="007A5644" w:rsidRPr="00A957E8">
        <w:rPr>
          <w:lang w:val="pt-BR"/>
        </w:rPr>
        <w:t>§ 2003.049(e) (</w:t>
      </w:r>
      <w:r w:rsidR="00A957E8">
        <w:rPr>
          <w:lang w:val="pt-BR"/>
        </w:rPr>
        <w:t>West 2016</w:t>
      </w:r>
      <w:r w:rsidRPr="00A957E8">
        <w:rPr>
          <w:lang w:val="pt-BR"/>
        </w:rPr>
        <w:t xml:space="preserve">).  </w:t>
      </w:r>
    </w:p>
  </w:footnote>
  <w:footnote w:id="4">
    <w:p w:rsidR="003748D6" w:rsidRPr="00A957E8" w:rsidRDefault="003748D6" w:rsidP="003748D6">
      <w:pPr>
        <w:pStyle w:val="FootnoteText"/>
        <w:rPr>
          <w:i/>
        </w:rPr>
      </w:pPr>
      <w:r w:rsidRPr="00A957E8">
        <w:rPr>
          <w:rStyle w:val="FootnoteReference"/>
          <w:position w:val="0"/>
          <w:sz w:val="20"/>
          <w:vertAlign w:val="superscript"/>
        </w:rPr>
        <w:footnoteRef/>
      </w:r>
      <w:r w:rsidRPr="00A957E8">
        <w:rPr>
          <w:vertAlign w:val="superscript"/>
        </w:rPr>
        <w:t xml:space="preserve"> </w:t>
      </w:r>
      <w:r w:rsidRPr="00A957E8">
        <w:t xml:space="preserve"> </w:t>
      </w:r>
      <w:r w:rsidRPr="00A957E8">
        <w:rPr>
          <w:i/>
        </w:rPr>
        <w:t>See Application of City of Heath to Amend a Certificate of Convenience and Necessity to Decertify a Portion of Forney Lake Water Supply Corporation's Service Area in Rockwall County</w:t>
      </w:r>
      <w:r w:rsidRPr="00A957E8">
        <w:t>, Docket No.44541, Order on</w:t>
      </w:r>
      <w:r w:rsidR="001972E8" w:rsidRPr="00A957E8">
        <w:t xml:space="preserve"> </w:t>
      </w:r>
      <w:r w:rsidRPr="00A957E8">
        <w:t>Appeal of Order No. 4 (Aug. 24, 2015).</w:t>
      </w:r>
    </w:p>
  </w:footnote>
  <w:footnote w:id="5">
    <w:p w:rsidR="00BB648E" w:rsidRPr="003E66BA" w:rsidRDefault="00BB648E" w:rsidP="00BB648E">
      <w:pPr>
        <w:pStyle w:val="FootnoteText"/>
      </w:pPr>
      <w:r w:rsidRPr="00A957E8">
        <w:rPr>
          <w:rStyle w:val="FootnoteReference"/>
          <w:position w:val="0"/>
          <w:sz w:val="20"/>
          <w:vertAlign w:val="superscript"/>
        </w:rPr>
        <w:footnoteRef/>
      </w:r>
      <w:r w:rsidRPr="00A957E8">
        <w:rPr>
          <w:vertAlign w:val="superscript"/>
        </w:rPr>
        <w:t xml:space="preserve">  </w:t>
      </w:r>
      <w:r>
        <w:t xml:space="preserve"> </w:t>
      </w:r>
      <w:r>
        <w:rPr>
          <w:i/>
        </w:rPr>
        <w:t>Application of City o</w:t>
      </w:r>
      <w:r w:rsidRPr="003E66BA">
        <w:rPr>
          <w:i/>
        </w:rPr>
        <w:t xml:space="preserve">f Cibolo </w:t>
      </w:r>
      <w:r>
        <w:rPr>
          <w:i/>
        </w:rPr>
        <w:t>f</w:t>
      </w:r>
      <w:r w:rsidRPr="003E66BA">
        <w:rPr>
          <w:i/>
        </w:rPr>
        <w:t xml:space="preserve">or Single Certification </w:t>
      </w:r>
      <w:r>
        <w:rPr>
          <w:i/>
        </w:rPr>
        <w:t>i</w:t>
      </w:r>
      <w:r w:rsidRPr="003E66BA">
        <w:rPr>
          <w:i/>
        </w:rPr>
        <w:t xml:space="preserve">n Incorporated Area </w:t>
      </w:r>
      <w:r>
        <w:rPr>
          <w:i/>
        </w:rPr>
        <w:t>a</w:t>
      </w:r>
      <w:r w:rsidRPr="003E66BA">
        <w:rPr>
          <w:i/>
        </w:rPr>
        <w:t xml:space="preserve">nd </w:t>
      </w:r>
      <w:r>
        <w:rPr>
          <w:i/>
        </w:rPr>
        <w:t>t</w:t>
      </w:r>
      <w:r w:rsidRPr="003E66BA">
        <w:rPr>
          <w:i/>
        </w:rPr>
        <w:t xml:space="preserve">o Decertify Portions </w:t>
      </w:r>
      <w:r>
        <w:rPr>
          <w:i/>
        </w:rPr>
        <w:t>o</w:t>
      </w:r>
      <w:r w:rsidRPr="003E66BA">
        <w:rPr>
          <w:i/>
        </w:rPr>
        <w:t xml:space="preserve">f Green Valley Special Utility District’s Sewer Certificate </w:t>
      </w:r>
      <w:r>
        <w:rPr>
          <w:i/>
        </w:rPr>
        <w:t>o</w:t>
      </w:r>
      <w:r w:rsidRPr="003E66BA">
        <w:rPr>
          <w:i/>
        </w:rPr>
        <w:t xml:space="preserve">f Convenience </w:t>
      </w:r>
      <w:r>
        <w:rPr>
          <w:i/>
        </w:rPr>
        <w:t>and Necessity i</w:t>
      </w:r>
      <w:r w:rsidRPr="003E66BA">
        <w:rPr>
          <w:i/>
        </w:rPr>
        <w:t>n Guadalupe County</w:t>
      </w:r>
      <w:r>
        <w:t>, Docket No. 45702, Preliminary Order (July 1, 2016).</w:t>
      </w:r>
    </w:p>
  </w:footnote>
  <w:footnote w:id="6">
    <w:p w:rsidR="00516F34" w:rsidRPr="00516F34" w:rsidRDefault="00516F34" w:rsidP="00516F34">
      <w:pPr>
        <w:pStyle w:val="FootnoteText"/>
      </w:pPr>
      <w:r w:rsidRPr="00A957E8">
        <w:rPr>
          <w:rStyle w:val="FootnoteReference"/>
          <w:position w:val="0"/>
          <w:sz w:val="20"/>
          <w:vertAlign w:val="superscript"/>
        </w:rPr>
        <w:footnoteRef/>
      </w:r>
      <w:r w:rsidRPr="00A957E8">
        <w:rPr>
          <w:vertAlign w:val="superscript"/>
        </w:rPr>
        <w:t xml:space="preserve">  </w:t>
      </w:r>
      <w:r>
        <w:t xml:space="preserve"> </w:t>
      </w:r>
      <w:r>
        <w:rPr>
          <w:i/>
        </w:rPr>
        <w:t>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F92AE7">
      <w:rPr>
        <w:rStyle w:val="PageNumber"/>
        <w:sz w:val="20"/>
      </w:rPr>
      <w:t>473-16-5739</w:t>
    </w:r>
    <w:r w:rsidR="00082062">
      <w:rPr>
        <w:rStyle w:val="PageNumber"/>
        <w:sz w:val="20"/>
      </w:rPr>
      <w:t>.WS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ED1DC6">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ED1DC6">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F92AE7">
      <w:rPr>
        <w:sz w:val="20"/>
      </w:rPr>
      <w:t>45956</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5C22C65"/>
    <w:multiLevelType w:val="hybridMultilevel"/>
    <w:tmpl w:val="338E2104"/>
    <w:lvl w:ilvl="0" w:tplc="A88204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6"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8"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5"/>
  </w:num>
  <w:num w:numId="2">
    <w:abstractNumId w:val="0"/>
  </w:num>
  <w:num w:numId="3">
    <w:abstractNumId w:val="7"/>
  </w:num>
  <w:num w:numId="4">
    <w:abstractNumId w:val="6"/>
  </w:num>
  <w:num w:numId="5">
    <w:abstractNumId w:val="8"/>
  </w:num>
  <w:num w:numId="6">
    <w:abstractNumId w:val="1"/>
  </w:num>
  <w:num w:numId="7">
    <w:abstractNumId w:val="2"/>
  </w:num>
  <w:num w:numId="8">
    <w:abstractNumId w:val="4"/>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04A2"/>
    <w:rsid w:val="0000092F"/>
    <w:rsid w:val="00043BC2"/>
    <w:rsid w:val="000552E2"/>
    <w:rsid w:val="00072267"/>
    <w:rsid w:val="00082062"/>
    <w:rsid w:val="000A0676"/>
    <w:rsid w:val="000D3D8B"/>
    <w:rsid w:val="0012543C"/>
    <w:rsid w:val="001972E8"/>
    <w:rsid w:val="001C225E"/>
    <w:rsid w:val="001E4645"/>
    <w:rsid w:val="002133F3"/>
    <w:rsid w:val="002723B2"/>
    <w:rsid w:val="00272DF9"/>
    <w:rsid w:val="00275B22"/>
    <w:rsid w:val="00283247"/>
    <w:rsid w:val="002B0DD0"/>
    <w:rsid w:val="002D2669"/>
    <w:rsid w:val="00310712"/>
    <w:rsid w:val="003243A0"/>
    <w:rsid w:val="003572F8"/>
    <w:rsid w:val="00364BA2"/>
    <w:rsid w:val="003748D6"/>
    <w:rsid w:val="003A255D"/>
    <w:rsid w:val="003C35B5"/>
    <w:rsid w:val="003D1D8E"/>
    <w:rsid w:val="003E66BA"/>
    <w:rsid w:val="0042797F"/>
    <w:rsid w:val="00475705"/>
    <w:rsid w:val="00497540"/>
    <w:rsid w:val="004A4D18"/>
    <w:rsid w:val="004F6FBF"/>
    <w:rsid w:val="00516F34"/>
    <w:rsid w:val="0057482F"/>
    <w:rsid w:val="005A151A"/>
    <w:rsid w:val="005A2B53"/>
    <w:rsid w:val="005B5B97"/>
    <w:rsid w:val="006312D3"/>
    <w:rsid w:val="00653486"/>
    <w:rsid w:val="00676438"/>
    <w:rsid w:val="00683707"/>
    <w:rsid w:val="006F000D"/>
    <w:rsid w:val="007402B7"/>
    <w:rsid w:val="0074722F"/>
    <w:rsid w:val="00756D42"/>
    <w:rsid w:val="007A4156"/>
    <w:rsid w:val="007A5644"/>
    <w:rsid w:val="007B04CB"/>
    <w:rsid w:val="007B24AD"/>
    <w:rsid w:val="007F3C40"/>
    <w:rsid w:val="008342FA"/>
    <w:rsid w:val="008417CC"/>
    <w:rsid w:val="00893E01"/>
    <w:rsid w:val="008B2CFA"/>
    <w:rsid w:val="008C7F0C"/>
    <w:rsid w:val="008D1582"/>
    <w:rsid w:val="00911656"/>
    <w:rsid w:val="00917E2A"/>
    <w:rsid w:val="009251F1"/>
    <w:rsid w:val="009264E7"/>
    <w:rsid w:val="009315A1"/>
    <w:rsid w:val="00995701"/>
    <w:rsid w:val="009F1850"/>
    <w:rsid w:val="00A957E8"/>
    <w:rsid w:val="00AA36AA"/>
    <w:rsid w:val="00AC2D6E"/>
    <w:rsid w:val="00AC6D21"/>
    <w:rsid w:val="00AD0759"/>
    <w:rsid w:val="00AD1E6B"/>
    <w:rsid w:val="00B10142"/>
    <w:rsid w:val="00B11991"/>
    <w:rsid w:val="00B81B17"/>
    <w:rsid w:val="00BA289E"/>
    <w:rsid w:val="00BB648E"/>
    <w:rsid w:val="00C10EEA"/>
    <w:rsid w:val="00C2483A"/>
    <w:rsid w:val="00C35689"/>
    <w:rsid w:val="00C64AF0"/>
    <w:rsid w:val="00CE470D"/>
    <w:rsid w:val="00D07FE4"/>
    <w:rsid w:val="00D10A2B"/>
    <w:rsid w:val="00D24B77"/>
    <w:rsid w:val="00D278F7"/>
    <w:rsid w:val="00D50A33"/>
    <w:rsid w:val="00DD0940"/>
    <w:rsid w:val="00E904A2"/>
    <w:rsid w:val="00ED1DC6"/>
    <w:rsid w:val="00F2324D"/>
    <w:rsid w:val="00F92AE7"/>
    <w:rsid w:val="00F96FAF"/>
    <w:rsid w:val="00FA5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0F1BCF3-4794-4FD9-81CE-8196987FD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rPr>
      <w:position w:val="6"/>
      <w:sz w:val="17"/>
    </w:rPr>
  </w:style>
  <w:style w:type="paragraph" w:styleId="FootnoteText">
    <w:name w:val="footnote text"/>
    <w:basedOn w:val="Normal"/>
    <w:link w:val="FootnoteTextChar"/>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qFormat/>
    <w:rsid w:val="002133F3"/>
    <w:pPr>
      <w:spacing w:before="0"/>
    </w:pPr>
  </w:style>
  <w:style w:type="paragraph" w:styleId="Subtitle">
    <w:name w:val="Subtitle"/>
    <w:basedOn w:val="Normal"/>
    <w:qFormat/>
    <w:rsid w:val="002133F3"/>
    <w:pPr>
      <w:spacing w:before="0"/>
      <w:jc w:val="center"/>
    </w:pPr>
    <w:rPr>
      <w:b/>
    </w:rPr>
  </w:style>
  <w:style w:type="character" w:customStyle="1" w:styleId="BodyTextChar">
    <w:name w:val="Body Text Char"/>
    <w:link w:val="BodyText"/>
    <w:rsid w:val="00F2324D"/>
    <w:rPr>
      <w:sz w:val="24"/>
    </w:rPr>
  </w:style>
  <w:style w:type="character" w:customStyle="1" w:styleId="FootnoteTextChar">
    <w:name w:val="Footnote Text Char"/>
    <w:link w:val="FootnoteText"/>
    <w:rsid w:val="00F2324D"/>
  </w:style>
  <w:style w:type="paragraph" w:styleId="BalloonText">
    <w:name w:val="Balloon Text"/>
    <w:basedOn w:val="Normal"/>
    <w:link w:val="BalloonTextChar"/>
    <w:rsid w:val="008417CC"/>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8417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0669A-A856-4D70-8ADC-10EB5365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TotalTime>
  <Pages>6</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9571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Waddell, Adrianne</dc:creator>
  <cp:keywords/>
  <cp:lastModifiedBy>Roundtree-Williams, Keva</cp:lastModifiedBy>
  <cp:revision>6</cp:revision>
  <cp:lastPrinted>2016-09-08T18:28:00Z</cp:lastPrinted>
  <dcterms:created xsi:type="dcterms:W3CDTF">2016-09-08T18:02:00Z</dcterms:created>
  <dcterms:modified xsi:type="dcterms:W3CDTF">2016-09-08T18:29:00Z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